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546938"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10.95pt;width:221.75pt;height:180.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1B107F"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Кандабулак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CC43D2" w:rsidRPr="00EC797D" w:rsidRDefault="00CC43D2" w:rsidP="00183565">
            <w:pPr>
              <w:tabs>
                <w:tab w:val="left" w:pos="2136"/>
              </w:tabs>
              <w:ind w:firstLine="0"/>
              <w:rPr>
                <w:rFonts w:ascii="Times New Roman" w:eastAsia="Times New Roman" w:hAnsi="Times New Roman" w:cs="Times New Roman"/>
                <w:color w:val="000000" w:themeColor="text1"/>
                <w:spacing w:val="2"/>
                <w:sz w:val="28"/>
                <w:szCs w:val="28"/>
              </w:rPr>
            </w:pPr>
          </w:p>
          <w:p w:rsidR="00CC43D2" w:rsidRPr="00EC797D" w:rsidRDefault="00CC43D2"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08043E"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08043E">
              <w:rPr>
                <w:rFonts w:ascii="Times New Roman" w:eastAsia="Times New Roman" w:hAnsi="Times New Roman" w:cs="Times New Roman"/>
                <w:b/>
                <w:color w:val="000000" w:themeColor="text1"/>
                <w:spacing w:val="2"/>
                <w:sz w:val="28"/>
                <w:szCs w:val="28"/>
              </w:rPr>
              <w:t xml:space="preserve">Об утверждении </w:t>
            </w:r>
            <w:r w:rsidR="00A66B01" w:rsidRPr="0008043E">
              <w:rPr>
                <w:rFonts w:ascii="Times New Roman" w:hAnsi="Times New Roman" w:cs="Times New Roman"/>
                <w:b/>
                <w:sz w:val="28"/>
                <w:szCs w:val="28"/>
              </w:rPr>
              <w:t>Поряд</w:t>
            </w:r>
            <w:r w:rsidR="00CB264F" w:rsidRPr="0008043E">
              <w:rPr>
                <w:rFonts w:ascii="Times New Roman" w:hAnsi="Times New Roman" w:cs="Times New Roman"/>
                <w:b/>
                <w:sz w:val="28"/>
                <w:szCs w:val="28"/>
              </w:rPr>
              <w:t>к</w:t>
            </w:r>
            <w:r w:rsidR="00A66B01" w:rsidRPr="0008043E">
              <w:rPr>
                <w:rFonts w:ascii="Times New Roman" w:hAnsi="Times New Roman" w:cs="Times New Roman"/>
                <w:b/>
                <w:sz w:val="28"/>
                <w:szCs w:val="28"/>
              </w:rPr>
              <w:t>а</w:t>
            </w:r>
            <w:r w:rsidR="00CB264F" w:rsidRPr="0008043E">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AF76C2" w:rsidRPr="0008043E">
              <w:rPr>
                <w:rFonts w:ascii="Times New Roman" w:hAnsi="Times New Roman" w:cs="Times New Roman"/>
                <w:b/>
                <w:sz w:val="28"/>
                <w:szCs w:val="28"/>
              </w:rPr>
              <w:t>Кандабулак</w:t>
            </w:r>
            <w:r w:rsidR="00CB264F" w:rsidRPr="0008043E">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08043E" w:rsidRDefault="00183565" w:rsidP="00CB264F">
            <w:pPr>
              <w:rPr>
                <w:rFonts w:ascii="Times New Roman" w:eastAsia="Calibri" w:hAnsi="Times New Roman" w:cs="Times New Roman"/>
              </w:rPr>
            </w:pPr>
          </w:p>
        </w:tc>
      </w:tr>
    </w:tbl>
    <w:p w:rsidR="00183565" w:rsidRPr="0008043E" w:rsidRDefault="008B3F11" w:rsidP="00183565">
      <w:pPr>
        <w:shd w:val="clear" w:color="auto" w:fill="FFFFFF"/>
        <w:spacing w:before="75" w:after="75"/>
        <w:ind w:left="75" w:right="75"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8659D5">
        <w:rPr>
          <w:rFonts w:ascii="Times New Roman" w:hAnsi="Times New Roman" w:cs="Times New Roman"/>
          <w:bCs/>
          <w:color w:val="000000" w:themeColor="text1"/>
          <w:sz w:val="28"/>
          <w:szCs w:val="28"/>
        </w:rPr>
        <w:t>26</w:t>
      </w:r>
      <w:r w:rsidR="00577604" w:rsidRPr="00201F64">
        <w:rPr>
          <w:rFonts w:ascii="Times New Roman" w:hAnsi="Times New Roman" w:cs="Times New Roman"/>
          <w:bCs/>
          <w:color w:val="000000" w:themeColor="text1"/>
          <w:sz w:val="28"/>
          <w:szCs w:val="28"/>
        </w:rPr>
        <w:t>»</w:t>
      </w:r>
      <w:r w:rsidR="008659D5">
        <w:rPr>
          <w:rFonts w:ascii="Times New Roman" w:hAnsi="Times New Roman" w:cs="Times New Roman"/>
          <w:bCs/>
          <w:color w:val="000000" w:themeColor="text1"/>
          <w:sz w:val="28"/>
          <w:szCs w:val="28"/>
        </w:rPr>
        <w:t xml:space="preserve"> февраля</w:t>
      </w:r>
      <w:r w:rsidR="00577604" w:rsidRPr="00201F64">
        <w:rPr>
          <w:rFonts w:ascii="Times New Roman" w:hAnsi="Times New Roman" w:cs="Times New Roman"/>
          <w:bCs/>
          <w:color w:val="000000" w:themeColor="text1"/>
          <w:sz w:val="28"/>
          <w:szCs w:val="28"/>
        </w:rPr>
        <w:t xml:space="preserve"> 20</w:t>
      </w:r>
      <w:r>
        <w:rPr>
          <w:rFonts w:ascii="Times New Roman" w:hAnsi="Times New Roman" w:cs="Times New Roman"/>
          <w:bCs/>
          <w:color w:val="000000" w:themeColor="text1"/>
          <w:sz w:val="28"/>
          <w:szCs w:val="28"/>
        </w:rPr>
        <w:t>20</w:t>
      </w:r>
      <w:r w:rsidR="00577604" w:rsidRPr="00201F64">
        <w:rPr>
          <w:rFonts w:ascii="Times New Roman" w:hAnsi="Times New Roman" w:cs="Times New Roman"/>
          <w:bCs/>
          <w:color w:val="000000" w:themeColor="text1"/>
          <w:sz w:val="28"/>
          <w:szCs w:val="28"/>
        </w:rPr>
        <w:t xml:space="preserve"> г.</w:t>
      </w:r>
    </w:p>
    <w:p w:rsidR="001B107F" w:rsidRDefault="00577604" w:rsidP="00577604">
      <w:pPr>
        <w:shd w:val="clear" w:color="auto" w:fill="FFFFFF"/>
        <w:tabs>
          <w:tab w:val="left" w:pos="1739"/>
        </w:tabs>
        <w:spacing w:before="75" w:after="75"/>
        <w:ind w:right="75" w:firstLine="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 xml:space="preserve">№ </w:t>
      </w:r>
      <w:r w:rsidR="008659D5">
        <w:rPr>
          <w:rFonts w:ascii="Times New Roman" w:hAnsi="Times New Roman" w:cs="Times New Roman"/>
          <w:bCs/>
          <w:color w:val="000000" w:themeColor="text1"/>
          <w:sz w:val="28"/>
          <w:szCs w:val="28"/>
        </w:rPr>
        <w:t>14</w:t>
      </w: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EC797D">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eastAsia="Times New Roman" w:hAnsi="Times New Roman" w:cs="Times New Roman"/>
          <w:color w:val="000000" w:themeColor="text1"/>
          <w:spacing w:val="2"/>
          <w:sz w:val="28"/>
          <w:szCs w:val="28"/>
        </w:rPr>
        <w:t>Кандабулак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eastAsia="Times New Roman" w:hAnsi="Times New Roman" w:cs="Times New Roman"/>
          <w:color w:val="000000" w:themeColor="text1"/>
          <w:spacing w:val="2"/>
          <w:sz w:val="28"/>
          <w:szCs w:val="28"/>
        </w:rPr>
        <w:t>Кандабулак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8A2501">
        <w:rPr>
          <w:rFonts w:ascii="Times New Roman" w:hAnsi="Times New Roman" w:cs="Times New Roman"/>
          <w:sz w:val="28"/>
          <w:szCs w:val="28"/>
        </w:rPr>
        <w:t>Кандабулак</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8A2501">
        <w:rPr>
          <w:rFonts w:ascii="Times New Roman" w:hAnsi="Times New Roman" w:cs="Times New Roman"/>
          <w:sz w:val="28"/>
          <w:szCs w:val="28"/>
        </w:rPr>
        <w:t>Кандабулак</w:t>
      </w:r>
      <w:r w:rsidR="00CB264F">
        <w:rPr>
          <w:rFonts w:ascii="Times New Roman" w:hAnsi="Times New Roman" w:cs="Times New Roman"/>
          <w:sz w:val="28"/>
          <w:szCs w:val="28"/>
        </w:rPr>
        <w:t xml:space="preserve"> муниципального района Сергиевский Самарской области № </w:t>
      </w:r>
      <w:r w:rsidR="008B3F11">
        <w:rPr>
          <w:rFonts w:ascii="Times New Roman" w:hAnsi="Times New Roman" w:cs="Times New Roman"/>
          <w:sz w:val="28"/>
          <w:szCs w:val="28"/>
        </w:rPr>
        <w:t>45</w:t>
      </w:r>
      <w:r w:rsidR="00CB264F">
        <w:rPr>
          <w:rFonts w:ascii="Times New Roman" w:hAnsi="Times New Roman" w:cs="Times New Roman"/>
          <w:sz w:val="28"/>
          <w:szCs w:val="28"/>
        </w:rPr>
        <w:t xml:space="preserve"> от </w:t>
      </w:r>
      <w:r w:rsidR="008B3F11">
        <w:rPr>
          <w:rFonts w:ascii="Times New Roman" w:hAnsi="Times New Roman" w:cs="Times New Roman"/>
          <w:sz w:val="28"/>
          <w:szCs w:val="28"/>
        </w:rPr>
        <w:t>11.11.2019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8A2501">
        <w:rPr>
          <w:rFonts w:ascii="Times New Roman" w:hAnsi="Times New Roman" w:cs="Times New Roman"/>
          <w:sz w:val="28"/>
          <w:szCs w:val="28"/>
        </w:rPr>
        <w:t>Кандабулак</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AF76C2">
        <w:rPr>
          <w:rFonts w:ascii="Times New Roman" w:hAnsi="Times New Roman" w:cs="Times New Roman"/>
          <w:sz w:val="28"/>
          <w:szCs w:val="28"/>
        </w:rPr>
        <w:t>В.А. Литвиненко</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5C65F1" w:rsidRDefault="00CB264F" w:rsidP="005C65F1">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Pr="005C65F1">
        <w:rPr>
          <w:rFonts w:ascii="Times New Roman" w:eastAsia="Times New Roman" w:hAnsi="Times New Roman"/>
          <w:b/>
          <w:bCs/>
          <w:kern w:val="32"/>
        </w:rPr>
        <w:t xml:space="preserve">    </w:t>
      </w:r>
      <w:r w:rsidR="006004B9" w:rsidRPr="005C65F1">
        <w:rPr>
          <w:rFonts w:ascii="Times New Roman" w:eastAsia="Times New Roman" w:hAnsi="Times New Roman"/>
          <w:b/>
          <w:bCs/>
          <w:kern w:val="32"/>
        </w:rPr>
        <w:t xml:space="preserve">                                                    </w:t>
      </w:r>
      <w:r w:rsidRPr="005C65F1">
        <w:rPr>
          <w:rFonts w:ascii="Times New Roman" w:eastAsia="Times New Roman" w:hAnsi="Times New Roman"/>
          <w:b/>
          <w:bCs/>
          <w:kern w:val="32"/>
        </w:rPr>
        <w:t xml:space="preserve">                      </w:t>
      </w:r>
    </w:p>
    <w:p w:rsidR="00CB264F" w:rsidRDefault="006004B9" w:rsidP="00542AE4">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к </w:t>
      </w:r>
      <w:r w:rsidR="00CB264F">
        <w:rPr>
          <w:rFonts w:ascii="Times New Roman" w:eastAsia="Times New Roman" w:hAnsi="Times New Roman"/>
          <w:bCs/>
          <w:kern w:val="32"/>
        </w:rPr>
        <w:t>Постановлению Администрации</w:t>
      </w:r>
    </w:p>
    <w:p w:rsidR="00CB264F" w:rsidRPr="007C6CEC" w:rsidRDefault="00CB264F" w:rsidP="00542AE4">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542AE4">
        <w:rPr>
          <w:rFonts w:ascii="Times New Roman" w:eastAsia="Times New Roman" w:hAnsi="Times New Roman"/>
          <w:bCs/>
          <w:kern w:val="32"/>
        </w:rPr>
        <w:t>Кандабулак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района 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8659D5">
        <w:rPr>
          <w:rFonts w:ascii="Times New Roman" w:eastAsia="Times New Roman" w:hAnsi="Times New Roman"/>
          <w:bCs/>
          <w:kern w:val="32"/>
        </w:rPr>
        <w:t>26</w:t>
      </w:r>
      <w:r w:rsidRPr="007C6CEC">
        <w:rPr>
          <w:rFonts w:ascii="Times New Roman" w:eastAsia="Times New Roman" w:hAnsi="Times New Roman"/>
          <w:bCs/>
          <w:kern w:val="32"/>
        </w:rPr>
        <w:t>»</w:t>
      </w:r>
      <w:r w:rsidR="008659D5">
        <w:rPr>
          <w:rFonts w:ascii="Times New Roman" w:eastAsia="Times New Roman" w:hAnsi="Times New Roman"/>
          <w:bCs/>
          <w:kern w:val="32"/>
        </w:rPr>
        <w:t xml:space="preserve"> февраля </w:t>
      </w:r>
      <w:r w:rsidR="008B3F11">
        <w:rPr>
          <w:rFonts w:ascii="Times New Roman" w:eastAsia="Times New Roman" w:hAnsi="Times New Roman"/>
          <w:bCs/>
          <w:kern w:val="32"/>
        </w:rPr>
        <w:t>2020</w:t>
      </w:r>
      <w:r w:rsidRPr="007C6CEC">
        <w:rPr>
          <w:rFonts w:ascii="Times New Roman" w:eastAsia="Times New Roman" w:hAnsi="Times New Roman"/>
          <w:bCs/>
          <w:kern w:val="32"/>
        </w:rPr>
        <w:t xml:space="preserve"> г. №</w:t>
      </w:r>
      <w:r w:rsidR="008659D5">
        <w:rPr>
          <w:rFonts w:ascii="Times New Roman" w:eastAsia="Times New Roman" w:hAnsi="Times New Roman"/>
          <w:bCs/>
          <w:kern w:val="32"/>
        </w:rPr>
        <w:t xml:space="preserve"> 14</w:t>
      </w:r>
      <w:r w:rsidRPr="007C6CEC">
        <w:rPr>
          <w:rFonts w:ascii="Times New Roman" w:eastAsia="Times New Roman" w:hAnsi="Times New Roman"/>
          <w:bCs/>
          <w:kern w:val="32"/>
        </w:rPr>
        <w:t xml:space="preserve"> </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542AE4">
        <w:rPr>
          <w:rFonts w:ascii="Times New Roman" w:hAnsi="Times New Roman" w:cs="Times New Roman"/>
          <w:sz w:val="26"/>
          <w:szCs w:val="26"/>
        </w:rPr>
        <w:t>Кандабулак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 xml:space="preserve">частях 2 </w:t>
        </w:r>
        <w:r w:rsidR="00542AE4">
          <w:rPr>
            <w:rFonts w:ascii="Times New Roman" w:hAnsi="Times New Roman" w:cs="Times New Roman"/>
            <w:color w:val="000000" w:themeColor="text1"/>
            <w:sz w:val="26"/>
            <w:szCs w:val="26"/>
          </w:rPr>
          <w:t>–</w:t>
        </w:r>
        <w:r w:rsidRPr="00A73670">
          <w:rPr>
            <w:rFonts w:ascii="Times New Roman" w:hAnsi="Times New Roman" w:cs="Times New Roman"/>
            <w:color w:val="000000" w:themeColor="text1"/>
            <w:sz w:val="26"/>
            <w:szCs w:val="26"/>
          </w:rPr>
          <w:t xml:space="preserve">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542AE4">
        <w:rPr>
          <w:rFonts w:ascii="Times New Roman" w:hAnsi="Times New Roman" w:cs="Times New Roman"/>
          <w:sz w:val="26"/>
          <w:szCs w:val="26"/>
        </w:rPr>
        <w:t>Кандабулак</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564A46" w:rsidRPr="00A73670">
        <w:rPr>
          <w:rFonts w:ascii="Times New Roman" w:hAnsi="Times New Roman" w:cs="Times New Roman"/>
          <w:sz w:val="26"/>
          <w:szCs w:val="26"/>
        </w:rPr>
        <w:lastRenderedPageBreak/>
        <w:t xml:space="preserve">сельского поселения </w:t>
      </w:r>
      <w:r w:rsidR="00542AE4">
        <w:rPr>
          <w:rFonts w:ascii="Times New Roman" w:hAnsi="Times New Roman" w:cs="Times New Roman"/>
          <w:sz w:val="26"/>
          <w:szCs w:val="26"/>
        </w:rPr>
        <w:t>Кандабулак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 xml:space="preserve">роект задания на разработку документации по планировке территории содержит </w:t>
      </w:r>
      <w:r w:rsidRPr="00F21DF4">
        <w:rPr>
          <w:rFonts w:ascii="Times New Roman" w:hAnsi="Times New Roman" w:cs="Times New Roman"/>
          <w:sz w:val="26"/>
          <w:szCs w:val="26"/>
        </w:rPr>
        <w:lastRenderedPageBreak/>
        <w:t>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542AE4">
        <w:rPr>
          <w:rFonts w:ascii="Times New Roman" w:hAnsi="Times New Roman" w:cs="Times New Roman"/>
          <w:sz w:val="26"/>
          <w:szCs w:val="26"/>
        </w:rPr>
        <w:t>Кандабулак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542AE4">
        <w:rPr>
          <w:rFonts w:ascii="Times New Roman" w:hAnsi="Times New Roman" w:cs="Times New Roman"/>
          <w:sz w:val="26"/>
          <w:szCs w:val="26"/>
        </w:rPr>
        <w:t>Кандабулак</w:t>
      </w:r>
      <w:r w:rsidR="007C6896" w:rsidRPr="00542AE4">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201F64">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201F64">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 xml:space="preserve">в разделе «Градостроительство» подразделе </w:t>
      </w:r>
      <w:r w:rsidRPr="00461B20">
        <w:rPr>
          <w:rFonts w:ascii="Times New Roman" w:hAnsi="Times New Roman" w:cs="Times New Roman"/>
          <w:color w:val="000000"/>
          <w:sz w:val="26"/>
          <w:szCs w:val="26"/>
        </w:rPr>
        <w:lastRenderedPageBreak/>
        <w:t>«Документация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542AE4">
        <w:rPr>
          <w:rFonts w:ascii="Times New Roman" w:hAnsi="Times New Roman" w:cs="Times New Roman"/>
          <w:sz w:val="26"/>
          <w:szCs w:val="26"/>
        </w:rPr>
        <w:t>Кандабулак</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B3F11" w:rsidRDefault="00C5194A" w:rsidP="008B3F11">
      <w:pPr>
        <w:ind w:firstLine="540"/>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8B3F11" w:rsidRPr="008B3F11" w:rsidRDefault="008B3F11" w:rsidP="008B3F11">
      <w:pPr>
        <w:ind w:firstLine="540"/>
        <w:rPr>
          <w:rFonts w:ascii="Verdana" w:eastAsia="Times New Roman" w:hAnsi="Verdana" w:cs="Times New Roman"/>
          <w:sz w:val="26"/>
          <w:szCs w:val="26"/>
        </w:rPr>
      </w:pPr>
      <w:r w:rsidRPr="008B3F11">
        <w:rPr>
          <w:rFonts w:ascii="Times New Roman" w:hAnsi="Times New Roman" w:cs="Times New Roman"/>
          <w:sz w:val="26"/>
          <w:szCs w:val="26"/>
        </w:rPr>
        <w:t xml:space="preserve"> 10.1. </w:t>
      </w:r>
      <w:r w:rsidRPr="008B3F11">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8B3F11" w:rsidRPr="008B3F11" w:rsidRDefault="008B3F11" w:rsidP="008B3F11">
      <w:pPr>
        <w:widowControl/>
        <w:autoSpaceDE/>
        <w:autoSpaceDN/>
        <w:adjustRightInd/>
        <w:ind w:firstLine="540"/>
        <w:rPr>
          <w:rFonts w:ascii="Verdana" w:eastAsia="Times New Roman" w:hAnsi="Verdana" w:cs="Times New Roman"/>
          <w:sz w:val="26"/>
          <w:szCs w:val="26"/>
        </w:rPr>
      </w:pPr>
      <w:r w:rsidRPr="008B3F11">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B3F11" w:rsidRPr="008B3F11" w:rsidRDefault="008B3F11" w:rsidP="008B3F11">
      <w:pPr>
        <w:widowControl/>
        <w:autoSpaceDE/>
        <w:autoSpaceDN/>
        <w:adjustRightInd/>
        <w:ind w:firstLine="540"/>
        <w:rPr>
          <w:rFonts w:ascii="Verdana" w:eastAsia="Times New Roman" w:hAnsi="Verdana" w:cs="Times New Roman"/>
          <w:sz w:val="26"/>
          <w:szCs w:val="26"/>
        </w:rPr>
      </w:pPr>
      <w:r w:rsidRPr="008B3F11">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B3F11" w:rsidRPr="008B3F11" w:rsidRDefault="008B3F11" w:rsidP="008B3F11">
      <w:pPr>
        <w:widowControl/>
        <w:autoSpaceDE/>
        <w:autoSpaceDN/>
        <w:adjustRightInd/>
        <w:ind w:firstLine="540"/>
        <w:rPr>
          <w:rFonts w:ascii="Verdana" w:eastAsia="Times New Roman" w:hAnsi="Verdana" w:cs="Times New Roman"/>
          <w:sz w:val="26"/>
          <w:szCs w:val="26"/>
        </w:rPr>
      </w:pPr>
      <w:r w:rsidRPr="008B3F11">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sidRPr="00466F25">
        <w:rPr>
          <w:rFonts w:ascii="Times New Roman" w:hAnsi="Times New Roman" w:cs="Times New Roman"/>
          <w:sz w:val="26"/>
          <w:szCs w:val="26"/>
        </w:rPr>
        <w:lastRenderedPageBreak/>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w:t>
      </w:r>
      <w:r w:rsidR="008B3F11" w:rsidRPr="008B3F11">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8B3F11" w:rsidRPr="00466F25">
        <w:rPr>
          <w:rFonts w:ascii="Times New Roman" w:hAnsi="Times New Roman" w:cs="Times New Roman"/>
          <w:sz w:val="26"/>
          <w:szCs w:val="26"/>
        </w:rPr>
        <w:t xml:space="preserve"> </w:t>
      </w:r>
      <w:r w:rsidR="00C5194A" w:rsidRPr="00466F25">
        <w:rPr>
          <w:rFonts w:ascii="Times New Roman" w:hAnsi="Times New Roman" w:cs="Times New Roman"/>
          <w:sz w:val="26"/>
          <w:szCs w:val="26"/>
        </w:rPr>
        <w:t xml:space="preserve">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8B3F11" w:rsidRPr="008B3F11" w:rsidRDefault="008B3F11" w:rsidP="008B3F11">
      <w:pPr>
        <w:widowControl/>
        <w:autoSpaceDE/>
        <w:autoSpaceDN/>
        <w:adjustRightInd/>
        <w:ind w:firstLine="540"/>
        <w:rPr>
          <w:rFonts w:ascii="Times New Roman" w:eastAsia="Times New Roman" w:hAnsi="Times New Roman" w:cs="Times New Roman"/>
          <w:sz w:val="26"/>
          <w:szCs w:val="26"/>
        </w:rPr>
      </w:pPr>
      <w:r w:rsidRPr="008B3F11">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B3F11" w:rsidRPr="00961E10" w:rsidRDefault="008B3F11" w:rsidP="008B3F11">
      <w:pPr>
        <w:ind w:firstLine="540"/>
        <w:rPr>
          <w:rFonts w:ascii="Verdana" w:eastAsia="Times New Roman" w:hAnsi="Verdana" w:cs="Times New Roman"/>
          <w:sz w:val="26"/>
          <w:szCs w:val="26"/>
        </w:rPr>
      </w:pPr>
      <w:r w:rsidRPr="008B3F11">
        <w:rPr>
          <w:rFonts w:ascii="Times New Roman" w:eastAsia="Times New Roman" w:hAnsi="Times New Roman" w:cs="Times New Roman"/>
          <w:sz w:val="26"/>
          <w:szCs w:val="26"/>
        </w:rPr>
        <w:t xml:space="preserve">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w:t>
      </w:r>
      <w:r w:rsidRPr="008B3F11">
        <w:rPr>
          <w:rFonts w:ascii="Times New Roman" w:eastAsia="Times New Roman" w:hAnsi="Times New Roman" w:cs="Times New Roman"/>
          <w:sz w:val="26"/>
          <w:szCs w:val="26"/>
        </w:rPr>
        <w:lastRenderedPageBreak/>
        <w:t>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sidRPr="00466F25">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sidRPr="00F22773">
        <w:rPr>
          <w:rFonts w:ascii="Times New Roman" w:hAnsi="Times New Roman" w:cs="Times New Roman"/>
          <w:sz w:val="26"/>
          <w:szCs w:val="26"/>
        </w:rPr>
        <w:lastRenderedPageBreak/>
        <w:t>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lastRenderedPageBreak/>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542AE4" w:rsidRPr="009466B6">
        <w:rPr>
          <w:rFonts w:ascii="Times New Roman" w:hAnsi="Times New Roman" w:cs="Times New Roman"/>
          <w:sz w:val="26"/>
          <w:szCs w:val="26"/>
        </w:rPr>
        <w:t>Кандабулак</w:t>
      </w:r>
      <w:r w:rsidRPr="009466B6">
        <w:rPr>
          <w:rFonts w:ascii="Times New Roman" w:hAnsi="Times New Roman" w:cs="Times New Roman"/>
          <w:color w:val="000000" w:themeColor="text1"/>
          <w:sz w:val="26"/>
          <w:szCs w:val="26"/>
        </w:rPr>
        <w:t xml:space="preserve"> от </w:t>
      </w:r>
      <w:r w:rsidR="009466B6" w:rsidRPr="009466B6">
        <w:rPr>
          <w:rFonts w:ascii="Times New Roman" w:hAnsi="Times New Roman" w:cs="Times New Roman"/>
          <w:color w:val="000000" w:themeColor="text1"/>
          <w:sz w:val="26"/>
          <w:szCs w:val="26"/>
        </w:rPr>
        <w:t>29.07.2019 года</w:t>
      </w:r>
      <w:r w:rsidRPr="009466B6">
        <w:rPr>
          <w:rFonts w:ascii="Times New Roman" w:hAnsi="Times New Roman" w:cs="Times New Roman"/>
          <w:color w:val="000000" w:themeColor="text1"/>
          <w:sz w:val="26"/>
          <w:szCs w:val="26"/>
        </w:rPr>
        <w:t xml:space="preserve"> № </w:t>
      </w:r>
      <w:r w:rsidR="009466B6" w:rsidRPr="009466B6">
        <w:rPr>
          <w:rFonts w:ascii="Times New Roman" w:hAnsi="Times New Roman" w:cs="Times New Roman"/>
          <w:color w:val="000000" w:themeColor="text1"/>
          <w:sz w:val="26"/>
          <w:szCs w:val="26"/>
        </w:rPr>
        <w:t>23</w:t>
      </w:r>
      <w:r w:rsidRPr="009466B6">
        <w:rPr>
          <w:rFonts w:ascii="Times New Roman" w:hAnsi="Times New Roman" w:cs="Times New Roman"/>
          <w:color w:val="000000" w:themeColor="text1"/>
          <w:sz w:val="26"/>
          <w:szCs w:val="26"/>
        </w:rPr>
        <w:t xml:space="preserve"> «</w:t>
      </w:r>
      <w:r w:rsidR="009466B6" w:rsidRPr="009466B6">
        <w:rPr>
          <w:rFonts w:ascii="Times New Roman" w:hAnsi="Times New Roman" w:cs="Times New Roman"/>
          <w:sz w:val="26"/>
          <w:szCs w:val="26"/>
        </w:rPr>
        <w:t xml:space="preserve">Об утверждении </w:t>
      </w:r>
      <w:r w:rsidR="009466B6" w:rsidRPr="009466B6">
        <w:rPr>
          <w:rFonts w:ascii="Times New Roman" w:hAnsi="Times New Roman" w:cs="Times New Roman"/>
          <w:bCs/>
          <w:kern w:val="32"/>
          <w:sz w:val="26"/>
          <w:szCs w:val="26"/>
        </w:rPr>
        <w:t>порядка организации и проведения публичных слушаний по вопросам градостроительной деятельности на территории сельского поселения Кандабулак  муниципального района Сергиевский</w:t>
      </w:r>
      <w:r w:rsidR="009466B6" w:rsidRPr="009466B6">
        <w:rPr>
          <w:rFonts w:ascii="Times New Roman" w:hAnsi="Times New Roman" w:cs="Times New Roman"/>
          <w:sz w:val="26"/>
          <w:szCs w:val="26"/>
        </w:rPr>
        <w:t xml:space="preserve"> Самарской области</w:t>
      </w:r>
      <w:r w:rsidRPr="009466B6">
        <w:rPr>
          <w:rFonts w:ascii="Times New Roman" w:hAnsi="Times New Roman" w:cs="Times New Roman"/>
          <w:color w:val="000000" w:themeColor="text1"/>
          <w:sz w:val="26"/>
          <w:szCs w:val="26"/>
        </w:rPr>
        <w:t>»</w:t>
      </w:r>
      <w:r w:rsidR="00D90D3B" w:rsidRPr="009466B6">
        <w:rPr>
          <w:rFonts w:ascii="Times New Roman" w:hAnsi="Times New Roman" w:cs="Times New Roman"/>
          <w:color w:val="000000" w:themeColor="text1"/>
          <w:sz w:val="26"/>
          <w:szCs w:val="26"/>
        </w:rPr>
        <w:t xml:space="preserve"> с учетом</w:t>
      </w:r>
      <w:r w:rsidR="00D90D3B">
        <w:rPr>
          <w:rFonts w:ascii="Times New Roman" w:hAnsi="Times New Roman" w:cs="Times New Roman"/>
          <w:color w:val="000000" w:themeColor="text1"/>
          <w:sz w:val="26"/>
          <w:szCs w:val="26"/>
        </w:rPr>
        <w:t xml:space="preserve">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w:t>
      </w:r>
      <w:r w:rsidR="001521CE">
        <w:rPr>
          <w:rFonts w:ascii="Times New Roman" w:hAnsi="Times New Roman" w:cs="Times New Roman"/>
          <w:sz w:val="26"/>
          <w:szCs w:val="26"/>
        </w:rPr>
        <w:lastRenderedPageBreak/>
        <w:t>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Default="00B367AF" w:rsidP="00D90D3B">
      <w:pPr>
        <w:tabs>
          <w:tab w:val="left" w:pos="1134"/>
        </w:tabs>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8B3F11" w:rsidRPr="00961E10" w:rsidRDefault="008B3F11" w:rsidP="008B3F11">
      <w:pPr>
        <w:widowControl/>
        <w:autoSpaceDE/>
        <w:autoSpaceDN/>
        <w:adjustRightInd/>
        <w:ind w:firstLine="540"/>
        <w:rPr>
          <w:rFonts w:ascii="Times New Roman" w:eastAsia="Times New Roman" w:hAnsi="Times New Roman" w:cs="Times New Roman"/>
          <w:sz w:val="26"/>
          <w:szCs w:val="26"/>
        </w:rPr>
      </w:pPr>
      <w:r w:rsidRPr="008B3F11">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w:t>
      </w:r>
      <w:r w:rsidRPr="000C7A8B">
        <w:rPr>
          <w:rFonts w:ascii="Times New Roman" w:hAnsi="Times New Roman" w:cs="Times New Roman"/>
          <w:sz w:val="26"/>
          <w:szCs w:val="26"/>
        </w:rPr>
        <w:lastRenderedPageBreak/>
        <w:t>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542AE4">
        <w:rPr>
          <w:rFonts w:ascii="Times New Roman" w:hAnsi="Times New Roman" w:cs="Times New Roman"/>
          <w:sz w:val="20"/>
          <w:szCs w:val="20"/>
        </w:rPr>
        <w:t>Кандабулак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542AE4">
        <w:rPr>
          <w:rFonts w:ascii="Times New Roman" w:hAnsi="Times New Roman" w:cs="Times New Roman"/>
          <w:sz w:val="20"/>
          <w:szCs w:val="20"/>
        </w:rPr>
        <w:t>Кандабулак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6EE" w:rsidRDefault="000506EE" w:rsidP="007768BA">
      <w:r>
        <w:separator/>
      </w:r>
    </w:p>
  </w:endnote>
  <w:endnote w:type="continuationSeparator" w:id="1">
    <w:p w:rsidR="000506EE" w:rsidRDefault="000506EE"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6EE" w:rsidRDefault="000506EE" w:rsidP="007768BA">
      <w:r>
        <w:separator/>
      </w:r>
    </w:p>
  </w:footnote>
  <w:footnote w:type="continuationSeparator" w:id="1">
    <w:p w:rsidR="000506EE" w:rsidRDefault="000506EE"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546938">
        <w:pPr>
          <w:pStyle w:val="ad"/>
          <w:jc w:val="center"/>
        </w:pPr>
        <w:fldSimple w:instr=" PAGE   \* MERGEFORMAT ">
          <w:r w:rsidR="008659D5">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2C55"/>
    <w:rsid w:val="00015A82"/>
    <w:rsid w:val="00045916"/>
    <w:rsid w:val="00047ADC"/>
    <w:rsid w:val="000506EE"/>
    <w:rsid w:val="0006022B"/>
    <w:rsid w:val="00066A70"/>
    <w:rsid w:val="0006798B"/>
    <w:rsid w:val="000712A0"/>
    <w:rsid w:val="0008043E"/>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35840"/>
    <w:rsid w:val="00150701"/>
    <w:rsid w:val="001521CE"/>
    <w:rsid w:val="001522F6"/>
    <w:rsid w:val="00155488"/>
    <w:rsid w:val="001757F2"/>
    <w:rsid w:val="00183565"/>
    <w:rsid w:val="00195721"/>
    <w:rsid w:val="001A0F02"/>
    <w:rsid w:val="001B107F"/>
    <w:rsid w:val="001B73AA"/>
    <w:rsid w:val="001C3696"/>
    <w:rsid w:val="001C51DC"/>
    <w:rsid w:val="001D1420"/>
    <w:rsid w:val="001F3C9A"/>
    <w:rsid w:val="00201F64"/>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52FBB"/>
    <w:rsid w:val="00461B20"/>
    <w:rsid w:val="00464B04"/>
    <w:rsid w:val="00466F25"/>
    <w:rsid w:val="004863C4"/>
    <w:rsid w:val="004867CA"/>
    <w:rsid w:val="004A0052"/>
    <w:rsid w:val="004A05A3"/>
    <w:rsid w:val="004A7947"/>
    <w:rsid w:val="004D706B"/>
    <w:rsid w:val="004E1E1C"/>
    <w:rsid w:val="004E2484"/>
    <w:rsid w:val="004F593C"/>
    <w:rsid w:val="005052BA"/>
    <w:rsid w:val="00521202"/>
    <w:rsid w:val="00521711"/>
    <w:rsid w:val="00542AE4"/>
    <w:rsid w:val="00546938"/>
    <w:rsid w:val="00552B15"/>
    <w:rsid w:val="00560206"/>
    <w:rsid w:val="00563312"/>
    <w:rsid w:val="00564A46"/>
    <w:rsid w:val="005734DE"/>
    <w:rsid w:val="0057464D"/>
    <w:rsid w:val="00577604"/>
    <w:rsid w:val="0058096E"/>
    <w:rsid w:val="00584A90"/>
    <w:rsid w:val="005A5B7B"/>
    <w:rsid w:val="005C65F1"/>
    <w:rsid w:val="005D26AF"/>
    <w:rsid w:val="005D3D9D"/>
    <w:rsid w:val="005E4802"/>
    <w:rsid w:val="005E59DE"/>
    <w:rsid w:val="005F5931"/>
    <w:rsid w:val="006004B9"/>
    <w:rsid w:val="00604BC9"/>
    <w:rsid w:val="00607F06"/>
    <w:rsid w:val="006116B1"/>
    <w:rsid w:val="006210EB"/>
    <w:rsid w:val="00621603"/>
    <w:rsid w:val="006256F4"/>
    <w:rsid w:val="00641D68"/>
    <w:rsid w:val="006434B4"/>
    <w:rsid w:val="0064375E"/>
    <w:rsid w:val="00646B47"/>
    <w:rsid w:val="00655EB6"/>
    <w:rsid w:val="006776E5"/>
    <w:rsid w:val="00680ED3"/>
    <w:rsid w:val="00684573"/>
    <w:rsid w:val="006A7A5B"/>
    <w:rsid w:val="006B6769"/>
    <w:rsid w:val="006B6BD2"/>
    <w:rsid w:val="006C7E5A"/>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59D5"/>
    <w:rsid w:val="00866BF9"/>
    <w:rsid w:val="00871228"/>
    <w:rsid w:val="00872E9B"/>
    <w:rsid w:val="008762D3"/>
    <w:rsid w:val="00876491"/>
    <w:rsid w:val="00877453"/>
    <w:rsid w:val="00881A18"/>
    <w:rsid w:val="00890577"/>
    <w:rsid w:val="00891FB9"/>
    <w:rsid w:val="008959A7"/>
    <w:rsid w:val="00895DD1"/>
    <w:rsid w:val="008A2434"/>
    <w:rsid w:val="008A2501"/>
    <w:rsid w:val="008A25ED"/>
    <w:rsid w:val="008B3F11"/>
    <w:rsid w:val="008B71FE"/>
    <w:rsid w:val="008B7580"/>
    <w:rsid w:val="008E3BFF"/>
    <w:rsid w:val="008E72B1"/>
    <w:rsid w:val="008E7E86"/>
    <w:rsid w:val="008F4A12"/>
    <w:rsid w:val="009217D8"/>
    <w:rsid w:val="00932CDF"/>
    <w:rsid w:val="009436CD"/>
    <w:rsid w:val="009466B6"/>
    <w:rsid w:val="00963F07"/>
    <w:rsid w:val="00987C5F"/>
    <w:rsid w:val="009A0F08"/>
    <w:rsid w:val="009A533D"/>
    <w:rsid w:val="009B08EF"/>
    <w:rsid w:val="009C1942"/>
    <w:rsid w:val="009E6F5F"/>
    <w:rsid w:val="00A00F04"/>
    <w:rsid w:val="00A16894"/>
    <w:rsid w:val="00A17829"/>
    <w:rsid w:val="00A2305F"/>
    <w:rsid w:val="00A2356B"/>
    <w:rsid w:val="00A26D79"/>
    <w:rsid w:val="00A312C7"/>
    <w:rsid w:val="00A3396B"/>
    <w:rsid w:val="00A341C2"/>
    <w:rsid w:val="00A54BB3"/>
    <w:rsid w:val="00A63983"/>
    <w:rsid w:val="00A66B01"/>
    <w:rsid w:val="00AC7E1A"/>
    <w:rsid w:val="00AD13FC"/>
    <w:rsid w:val="00AD59F6"/>
    <w:rsid w:val="00AD7DD1"/>
    <w:rsid w:val="00AE2408"/>
    <w:rsid w:val="00AE2BEE"/>
    <w:rsid w:val="00AF76C2"/>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3200A"/>
    <w:rsid w:val="00C33621"/>
    <w:rsid w:val="00C5194A"/>
    <w:rsid w:val="00C61269"/>
    <w:rsid w:val="00C716FA"/>
    <w:rsid w:val="00C83D9E"/>
    <w:rsid w:val="00C84221"/>
    <w:rsid w:val="00C85470"/>
    <w:rsid w:val="00CA358A"/>
    <w:rsid w:val="00CB106A"/>
    <w:rsid w:val="00CB264F"/>
    <w:rsid w:val="00CC3A37"/>
    <w:rsid w:val="00CC43D2"/>
    <w:rsid w:val="00CD430D"/>
    <w:rsid w:val="00CD7D8E"/>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03793"/>
    <w:rsid w:val="00E11241"/>
    <w:rsid w:val="00E15FE9"/>
    <w:rsid w:val="00E23288"/>
    <w:rsid w:val="00E25A68"/>
    <w:rsid w:val="00E40166"/>
    <w:rsid w:val="00E47701"/>
    <w:rsid w:val="00E71940"/>
    <w:rsid w:val="00E72238"/>
    <w:rsid w:val="00E751E2"/>
    <w:rsid w:val="00E8072F"/>
    <w:rsid w:val="00E83BF8"/>
    <w:rsid w:val="00E944CF"/>
    <w:rsid w:val="00E96DD0"/>
    <w:rsid w:val="00EA5D33"/>
    <w:rsid w:val="00EB175B"/>
    <w:rsid w:val="00EB2AB0"/>
    <w:rsid w:val="00EC4C42"/>
    <w:rsid w:val="00EC6F3D"/>
    <w:rsid w:val="00EC797D"/>
    <w:rsid w:val="00ED2669"/>
    <w:rsid w:val="00EE592E"/>
    <w:rsid w:val="00EF1820"/>
    <w:rsid w:val="00F012A5"/>
    <w:rsid w:val="00F06E1E"/>
    <w:rsid w:val="00F11AE1"/>
    <w:rsid w:val="00F1296D"/>
    <w:rsid w:val="00F21DF4"/>
    <w:rsid w:val="00F22773"/>
    <w:rsid w:val="00F4026F"/>
    <w:rsid w:val="00F62CAC"/>
    <w:rsid w:val="00F6795E"/>
    <w:rsid w:val="00F7064E"/>
    <w:rsid w:val="00F853BF"/>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88A83-346C-4B51-9B91-C77689C6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7936</Words>
  <Characters>45239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2020-02-03T12:01:00Z</cp:lastPrinted>
  <dcterms:created xsi:type="dcterms:W3CDTF">2020-01-30T07:28:00Z</dcterms:created>
  <dcterms:modified xsi:type="dcterms:W3CDTF">2020-03-02T11:04:00Z</dcterms:modified>
</cp:coreProperties>
</file>